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E4" w:rsidRDefault="00693C7F" w:rsidP="001F0AE4">
      <w:bookmarkStart w:id="0" w:name="_GoBack"/>
      <w:bookmarkEnd w:id="0"/>
      <w:r>
        <w:t>6/12/2020</w:t>
      </w:r>
    </w:p>
    <w:p w:rsidR="001F0AE4" w:rsidRDefault="001F0AE4" w:rsidP="001F0AE4">
      <w:r>
        <w:t xml:space="preserve">As we have indicated in previous updates, our efforts to keep our residents and staff safe have resulted in no CoVid-19 exposure.  Sadly, we must now convey that we have had a small outbreak in our </w:t>
      </w:r>
      <w:proofErr w:type="spellStart"/>
      <w:r>
        <w:t>RenVilla</w:t>
      </w:r>
      <w:proofErr w:type="spellEnd"/>
      <w:r>
        <w:t xml:space="preserve"> care center.  We have prepared for weeks for this event and that preparation has placed us in an excellent position to handle the outbreak.  All residents and employees have now been tested for CoVid-19 and we have already received a majority of those results.  </w:t>
      </w:r>
    </w:p>
    <w:p w:rsidR="001F0AE4" w:rsidRDefault="001F0AE4" w:rsidP="001F0AE4">
      <w:r>
        <w:t xml:space="preserve">The residents testing positive for CoVid-19 have been transferred to our segregated unit where they will receive all the cares required to see them through this illness.  Today, we </w:t>
      </w:r>
      <w:r w:rsidRPr="00B4059C">
        <w:t xml:space="preserve">have </w:t>
      </w:r>
      <w:r w:rsidR="00B4059C" w:rsidRPr="00B4059C">
        <w:t>3</w:t>
      </w:r>
      <w:r w:rsidRPr="00B4059C">
        <w:t xml:space="preserve"> number</w:t>
      </w:r>
      <w:r>
        <w:t xml:space="preserve"> of residents in our segregated unit.  </w:t>
      </w:r>
    </w:p>
    <w:p w:rsidR="001F0AE4" w:rsidRPr="00025708" w:rsidRDefault="001F0AE4" w:rsidP="001F0AE4">
      <w:r>
        <w:t xml:space="preserve">In addition to these residents who tested positive, we have </w:t>
      </w:r>
      <w:r w:rsidR="00B4059C" w:rsidRPr="00B4059C">
        <w:t>1</w:t>
      </w:r>
      <w:r>
        <w:t xml:space="preserve"> staff self-quarantining at home due to a pending or positive COVID-19 test.</w:t>
      </w:r>
    </w:p>
    <w:tbl>
      <w:tblPr>
        <w:tblStyle w:val="TableGrid"/>
        <w:tblpPr w:leftFromText="180" w:rightFromText="180" w:vertAnchor="page" w:horzAnchor="margin" w:tblpY="5656"/>
        <w:tblW w:w="9495" w:type="dxa"/>
        <w:tblLayout w:type="fixed"/>
        <w:tblLook w:val="04A0" w:firstRow="1" w:lastRow="0" w:firstColumn="1" w:lastColumn="0" w:noHBand="0" w:noVBand="1"/>
      </w:tblPr>
      <w:tblGrid>
        <w:gridCol w:w="1899"/>
        <w:gridCol w:w="1899"/>
        <w:gridCol w:w="1899"/>
        <w:gridCol w:w="1899"/>
        <w:gridCol w:w="1899"/>
      </w:tblGrid>
      <w:tr w:rsidR="001F0AE4" w:rsidTr="009B15B9">
        <w:trPr>
          <w:trHeight w:val="350"/>
        </w:trPr>
        <w:tc>
          <w:tcPr>
            <w:tcW w:w="1899" w:type="dxa"/>
          </w:tcPr>
          <w:p w:rsidR="001F0AE4" w:rsidRDefault="001F0AE4" w:rsidP="009B15B9">
            <w:pPr>
              <w:rPr>
                <w:color w:val="FF0000"/>
              </w:rPr>
            </w:pPr>
          </w:p>
        </w:tc>
        <w:tc>
          <w:tcPr>
            <w:tcW w:w="1899" w:type="dxa"/>
          </w:tcPr>
          <w:p w:rsidR="001F0AE4" w:rsidRDefault="001F0AE4" w:rsidP="009B15B9">
            <w:pPr>
              <w:rPr>
                <w:color w:val="FF0000"/>
              </w:rPr>
            </w:pPr>
            <w:r>
              <w:rPr>
                <w:color w:val="FF0000"/>
              </w:rPr>
              <w:t>Tests Positive</w:t>
            </w:r>
          </w:p>
        </w:tc>
        <w:tc>
          <w:tcPr>
            <w:tcW w:w="1899" w:type="dxa"/>
          </w:tcPr>
          <w:p w:rsidR="001F0AE4" w:rsidRDefault="001F0AE4" w:rsidP="009B15B9">
            <w:pPr>
              <w:rPr>
                <w:color w:val="FF0000"/>
              </w:rPr>
            </w:pPr>
            <w:r>
              <w:rPr>
                <w:color w:val="FF0000"/>
              </w:rPr>
              <w:t>Tests Negative</w:t>
            </w:r>
          </w:p>
        </w:tc>
        <w:tc>
          <w:tcPr>
            <w:tcW w:w="1899" w:type="dxa"/>
          </w:tcPr>
          <w:p w:rsidR="001F0AE4" w:rsidRDefault="001F0AE4" w:rsidP="009B15B9">
            <w:pPr>
              <w:rPr>
                <w:color w:val="FF0000"/>
              </w:rPr>
            </w:pPr>
            <w:r>
              <w:rPr>
                <w:color w:val="FF0000"/>
              </w:rPr>
              <w:t>Tests Pending</w:t>
            </w:r>
          </w:p>
        </w:tc>
        <w:tc>
          <w:tcPr>
            <w:tcW w:w="1899" w:type="dxa"/>
          </w:tcPr>
          <w:p w:rsidR="001F0AE4" w:rsidRDefault="001F0AE4" w:rsidP="009B15B9">
            <w:pPr>
              <w:rPr>
                <w:color w:val="FF0000"/>
              </w:rPr>
            </w:pPr>
            <w:r>
              <w:rPr>
                <w:color w:val="FF0000"/>
              </w:rPr>
              <w:t>Total Tested</w:t>
            </w:r>
          </w:p>
        </w:tc>
      </w:tr>
      <w:tr w:rsidR="001F0AE4" w:rsidTr="009B15B9">
        <w:trPr>
          <w:trHeight w:val="338"/>
        </w:trPr>
        <w:tc>
          <w:tcPr>
            <w:tcW w:w="1899" w:type="dxa"/>
          </w:tcPr>
          <w:p w:rsidR="001F0AE4" w:rsidRDefault="001F0AE4" w:rsidP="009B15B9">
            <w:pPr>
              <w:rPr>
                <w:color w:val="FF0000"/>
              </w:rPr>
            </w:pPr>
            <w:proofErr w:type="spellStart"/>
            <w:r>
              <w:rPr>
                <w:color w:val="FF0000"/>
              </w:rPr>
              <w:t>RenVilla</w:t>
            </w:r>
            <w:proofErr w:type="spellEnd"/>
          </w:p>
        </w:tc>
        <w:tc>
          <w:tcPr>
            <w:tcW w:w="1899" w:type="dxa"/>
          </w:tcPr>
          <w:p w:rsidR="001F0AE4" w:rsidRDefault="00B4059C" w:rsidP="00B4059C">
            <w:pPr>
              <w:jc w:val="center"/>
              <w:rPr>
                <w:color w:val="FF0000"/>
              </w:rPr>
            </w:pPr>
            <w:r>
              <w:rPr>
                <w:color w:val="FF0000"/>
              </w:rPr>
              <w:t>3</w:t>
            </w:r>
          </w:p>
        </w:tc>
        <w:tc>
          <w:tcPr>
            <w:tcW w:w="1899" w:type="dxa"/>
          </w:tcPr>
          <w:p w:rsidR="001F0AE4" w:rsidRDefault="00B4059C" w:rsidP="00B4059C">
            <w:pPr>
              <w:ind w:firstLine="720"/>
              <w:rPr>
                <w:color w:val="FF0000"/>
              </w:rPr>
            </w:pPr>
            <w:r>
              <w:rPr>
                <w:color w:val="FF0000"/>
              </w:rPr>
              <w:t>61</w:t>
            </w:r>
          </w:p>
        </w:tc>
        <w:tc>
          <w:tcPr>
            <w:tcW w:w="1899" w:type="dxa"/>
          </w:tcPr>
          <w:p w:rsidR="001F0AE4" w:rsidRDefault="00B4059C" w:rsidP="00B4059C">
            <w:pPr>
              <w:jc w:val="center"/>
              <w:rPr>
                <w:color w:val="FF0000"/>
              </w:rPr>
            </w:pPr>
            <w:r>
              <w:rPr>
                <w:color w:val="FF0000"/>
              </w:rPr>
              <w:t>1</w:t>
            </w:r>
          </w:p>
        </w:tc>
        <w:tc>
          <w:tcPr>
            <w:tcW w:w="1899" w:type="dxa"/>
          </w:tcPr>
          <w:p w:rsidR="001F0AE4" w:rsidRDefault="00B4059C" w:rsidP="00B4059C">
            <w:pPr>
              <w:jc w:val="center"/>
              <w:rPr>
                <w:color w:val="FF0000"/>
              </w:rPr>
            </w:pPr>
            <w:r>
              <w:rPr>
                <w:color w:val="FF0000"/>
              </w:rPr>
              <w:t>65</w:t>
            </w:r>
          </w:p>
        </w:tc>
      </w:tr>
      <w:tr w:rsidR="001F0AE4" w:rsidTr="009B15B9">
        <w:trPr>
          <w:trHeight w:val="264"/>
        </w:trPr>
        <w:tc>
          <w:tcPr>
            <w:tcW w:w="1899" w:type="dxa"/>
          </w:tcPr>
          <w:p w:rsidR="001F0AE4" w:rsidRDefault="001F0AE4" w:rsidP="009B15B9">
            <w:pPr>
              <w:rPr>
                <w:color w:val="FF0000"/>
              </w:rPr>
            </w:pPr>
            <w:r>
              <w:rPr>
                <w:color w:val="FF0000"/>
              </w:rPr>
              <w:t>Meadows on Main</w:t>
            </w:r>
          </w:p>
        </w:tc>
        <w:tc>
          <w:tcPr>
            <w:tcW w:w="1899" w:type="dxa"/>
          </w:tcPr>
          <w:p w:rsidR="001F0AE4" w:rsidRDefault="00B4059C" w:rsidP="00B4059C">
            <w:pPr>
              <w:jc w:val="center"/>
              <w:rPr>
                <w:color w:val="FF0000"/>
              </w:rPr>
            </w:pPr>
            <w:r>
              <w:rPr>
                <w:color w:val="FF0000"/>
              </w:rPr>
              <w:t>0</w:t>
            </w:r>
          </w:p>
        </w:tc>
        <w:tc>
          <w:tcPr>
            <w:tcW w:w="1899" w:type="dxa"/>
          </w:tcPr>
          <w:p w:rsidR="001F0AE4" w:rsidRDefault="00B4059C" w:rsidP="00B4059C">
            <w:pPr>
              <w:jc w:val="center"/>
              <w:rPr>
                <w:color w:val="FF0000"/>
              </w:rPr>
            </w:pPr>
            <w:r>
              <w:rPr>
                <w:color w:val="FF0000"/>
              </w:rPr>
              <w:t>0</w:t>
            </w:r>
          </w:p>
        </w:tc>
        <w:tc>
          <w:tcPr>
            <w:tcW w:w="1899" w:type="dxa"/>
          </w:tcPr>
          <w:p w:rsidR="001F0AE4" w:rsidRDefault="00B4059C" w:rsidP="00B4059C">
            <w:pPr>
              <w:jc w:val="center"/>
              <w:rPr>
                <w:color w:val="FF0000"/>
              </w:rPr>
            </w:pPr>
            <w:r>
              <w:rPr>
                <w:color w:val="FF0000"/>
              </w:rPr>
              <w:t>0</w:t>
            </w:r>
          </w:p>
        </w:tc>
        <w:tc>
          <w:tcPr>
            <w:tcW w:w="1899" w:type="dxa"/>
          </w:tcPr>
          <w:p w:rsidR="001F0AE4" w:rsidRDefault="00B4059C" w:rsidP="00B4059C">
            <w:pPr>
              <w:jc w:val="center"/>
              <w:rPr>
                <w:color w:val="FF0000"/>
              </w:rPr>
            </w:pPr>
            <w:r>
              <w:rPr>
                <w:color w:val="FF0000"/>
              </w:rPr>
              <w:t>0</w:t>
            </w:r>
          </w:p>
        </w:tc>
      </w:tr>
      <w:tr w:rsidR="00B4059C" w:rsidTr="009B15B9">
        <w:trPr>
          <w:trHeight w:val="264"/>
        </w:trPr>
        <w:tc>
          <w:tcPr>
            <w:tcW w:w="1899" w:type="dxa"/>
          </w:tcPr>
          <w:p w:rsidR="00B4059C" w:rsidRDefault="00B4059C" w:rsidP="009B15B9">
            <w:pPr>
              <w:rPr>
                <w:color w:val="FF0000"/>
              </w:rPr>
            </w:pPr>
            <w:r>
              <w:rPr>
                <w:color w:val="FF0000"/>
              </w:rPr>
              <w:t>Prairie View</w:t>
            </w:r>
          </w:p>
        </w:tc>
        <w:tc>
          <w:tcPr>
            <w:tcW w:w="1899" w:type="dxa"/>
          </w:tcPr>
          <w:p w:rsidR="00B4059C" w:rsidRDefault="00B4059C" w:rsidP="00B4059C">
            <w:pPr>
              <w:jc w:val="center"/>
              <w:rPr>
                <w:color w:val="FF0000"/>
              </w:rPr>
            </w:pPr>
            <w:r>
              <w:rPr>
                <w:color w:val="FF0000"/>
              </w:rPr>
              <w:t>0</w:t>
            </w:r>
          </w:p>
        </w:tc>
        <w:tc>
          <w:tcPr>
            <w:tcW w:w="1899" w:type="dxa"/>
          </w:tcPr>
          <w:p w:rsidR="00B4059C" w:rsidRDefault="00B4059C" w:rsidP="00B4059C">
            <w:pPr>
              <w:jc w:val="center"/>
              <w:rPr>
                <w:color w:val="FF0000"/>
              </w:rPr>
            </w:pPr>
            <w:r>
              <w:rPr>
                <w:color w:val="FF0000"/>
              </w:rPr>
              <w:t>0</w:t>
            </w:r>
          </w:p>
        </w:tc>
        <w:tc>
          <w:tcPr>
            <w:tcW w:w="1899" w:type="dxa"/>
          </w:tcPr>
          <w:p w:rsidR="00B4059C" w:rsidRDefault="00B4059C" w:rsidP="00B4059C">
            <w:pPr>
              <w:jc w:val="center"/>
              <w:rPr>
                <w:color w:val="FF0000"/>
              </w:rPr>
            </w:pPr>
            <w:r>
              <w:rPr>
                <w:color w:val="FF0000"/>
              </w:rPr>
              <w:t>0</w:t>
            </w:r>
          </w:p>
        </w:tc>
        <w:tc>
          <w:tcPr>
            <w:tcW w:w="1899" w:type="dxa"/>
          </w:tcPr>
          <w:p w:rsidR="00B4059C" w:rsidRDefault="00B4059C" w:rsidP="00B4059C">
            <w:pPr>
              <w:jc w:val="center"/>
              <w:rPr>
                <w:color w:val="FF0000"/>
              </w:rPr>
            </w:pPr>
            <w:r>
              <w:rPr>
                <w:color w:val="FF0000"/>
              </w:rPr>
              <w:t>0</w:t>
            </w:r>
          </w:p>
        </w:tc>
      </w:tr>
      <w:tr w:rsidR="001F0AE4" w:rsidTr="009B15B9">
        <w:trPr>
          <w:trHeight w:val="166"/>
        </w:trPr>
        <w:tc>
          <w:tcPr>
            <w:tcW w:w="1899" w:type="dxa"/>
          </w:tcPr>
          <w:p w:rsidR="001F0AE4" w:rsidRDefault="001F0AE4" w:rsidP="009B15B9">
            <w:pPr>
              <w:rPr>
                <w:color w:val="FF0000"/>
              </w:rPr>
            </w:pPr>
            <w:r>
              <w:rPr>
                <w:color w:val="FF0000"/>
              </w:rPr>
              <w:t>Staff</w:t>
            </w:r>
          </w:p>
        </w:tc>
        <w:tc>
          <w:tcPr>
            <w:tcW w:w="1899" w:type="dxa"/>
          </w:tcPr>
          <w:p w:rsidR="001F0AE4" w:rsidRDefault="00B4059C" w:rsidP="00B4059C">
            <w:pPr>
              <w:jc w:val="center"/>
              <w:rPr>
                <w:color w:val="FF0000"/>
              </w:rPr>
            </w:pPr>
            <w:r>
              <w:rPr>
                <w:color w:val="FF0000"/>
              </w:rPr>
              <w:t>1</w:t>
            </w:r>
          </w:p>
        </w:tc>
        <w:tc>
          <w:tcPr>
            <w:tcW w:w="1899" w:type="dxa"/>
          </w:tcPr>
          <w:p w:rsidR="001F0AE4" w:rsidRDefault="00B4059C" w:rsidP="00B4059C">
            <w:pPr>
              <w:ind w:firstLine="720"/>
              <w:rPr>
                <w:color w:val="FF0000"/>
              </w:rPr>
            </w:pPr>
            <w:r>
              <w:rPr>
                <w:color w:val="FF0000"/>
              </w:rPr>
              <w:t>42</w:t>
            </w:r>
          </w:p>
        </w:tc>
        <w:tc>
          <w:tcPr>
            <w:tcW w:w="1899" w:type="dxa"/>
          </w:tcPr>
          <w:p w:rsidR="001F0AE4" w:rsidRDefault="00B4059C" w:rsidP="00B4059C">
            <w:pPr>
              <w:jc w:val="center"/>
              <w:rPr>
                <w:color w:val="FF0000"/>
              </w:rPr>
            </w:pPr>
            <w:r>
              <w:rPr>
                <w:color w:val="FF0000"/>
              </w:rPr>
              <w:t>33</w:t>
            </w:r>
          </w:p>
        </w:tc>
        <w:tc>
          <w:tcPr>
            <w:tcW w:w="1899" w:type="dxa"/>
          </w:tcPr>
          <w:p w:rsidR="001F0AE4" w:rsidRDefault="00B4059C" w:rsidP="00B4059C">
            <w:pPr>
              <w:ind w:firstLine="720"/>
              <w:rPr>
                <w:color w:val="FF0000"/>
              </w:rPr>
            </w:pPr>
            <w:r>
              <w:rPr>
                <w:color w:val="FF0000"/>
              </w:rPr>
              <w:t>76</w:t>
            </w:r>
          </w:p>
        </w:tc>
      </w:tr>
    </w:tbl>
    <w:p w:rsidR="001F0AE4" w:rsidRDefault="001F0AE4" w:rsidP="001F0AE4">
      <w:r>
        <w:t xml:space="preserve">As a reminder, staff that work in our segregated unit will not care for residents outside of the unit or interact with any employees that are providing direct care to residents outside of the unit. All staff in the segregated unit will be equipped with N95 masks, face shields, gowns, and foot covers. Staff will enter and exit the segregated unit from a separate door to prevent exposure to the rest of our care center, residents and employees.  </w:t>
      </w:r>
    </w:p>
    <w:p w:rsidR="001F0AE4" w:rsidRPr="009B15B9" w:rsidRDefault="001F0AE4" w:rsidP="001F0AE4">
      <w:pPr>
        <w:rPr>
          <w:color w:val="FF0000"/>
        </w:rPr>
      </w:pPr>
      <w:r>
        <w:t xml:space="preserve">As you may have heard care centers in MN have been provided guidelines in which they can open up their beauty salons.  Unfortunately, with the confirmed cases of COVID-19 </w:t>
      </w:r>
      <w:r>
        <w:lastRenderedPageBreak/>
        <w:t xml:space="preserve">within our care center, we will not be allowed to resume salon services at this time. </w:t>
      </w:r>
    </w:p>
    <w:p w:rsidR="001F0AE4" w:rsidRPr="00B4059C" w:rsidRDefault="001F0AE4" w:rsidP="001F0AE4">
      <w:r w:rsidRPr="00A02248">
        <w:rPr>
          <w:b/>
          <w:bCs/>
        </w:rPr>
        <w:t xml:space="preserve">A </w:t>
      </w:r>
      <w:r w:rsidRPr="00055395">
        <w:t xml:space="preserve">few of the activities that we have planned for the week ahead to keep residents engaged and connected: </w:t>
      </w:r>
      <w:r w:rsidR="00B4059C">
        <w:t>Facetime Visits, Devotions, Happy Hour, Trivia, Coloring Contests, Guessing Game Competitions, Etc.</w:t>
      </w:r>
    </w:p>
    <w:p w:rsidR="001F0AE4" w:rsidRPr="00B4059C" w:rsidRDefault="001F0AE4" w:rsidP="001F0AE4">
      <w:r>
        <w:t xml:space="preserve">We appreciate all the support, prayers, and offers of </w:t>
      </w:r>
      <w:r w:rsidRPr="00B4059C">
        <w:t xml:space="preserve">help that we’ve received. If you have specific questions or concerns, please contact </w:t>
      </w:r>
      <w:r w:rsidR="00B4059C" w:rsidRPr="00B4059C">
        <w:t xml:space="preserve">Casie Knoshal at 320 329-4373. </w:t>
      </w:r>
    </w:p>
    <w:p w:rsidR="00F71936" w:rsidRDefault="00F46F81"/>
    <w:sectPr w:rsidR="00F71936" w:rsidSect="00EE47B8">
      <w:headerReference w:type="default" r:id="rId6"/>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0D0" w:rsidRDefault="000F40D0">
      <w:pPr>
        <w:spacing w:after="0" w:line="240" w:lineRule="auto"/>
      </w:pPr>
      <w:r>
        <w:separator/>
      </w:r>
    </w:p>
  </w:endnote>
  <w:endnote w:type="continuationSeparator" w:id="0">
    <w:p w:rsidR="000F40D0" w:rsidRDefault="000F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0D0" w:rsidRDefault="000F40D0">
      <w:pPr>
        <w:spacing w:after="0" w:line="240" w:lineRule="auto"/>
      </w:pPr>
      <w:r>
        <w:separator/>
      </w:r>
    </w:p>
  </w:footnote>
  <w:footnote w:type="continuationSeparator" w:id="0">
    <w:p w:rsidR="000F40D0" w:rsidRDefault="000F4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1F0AE4">
    <w:pPr>
      <w:pStyle w:val="Header"/>
    </w:pPr>
    <w:r>
      <w:rPr>
        <w:noProof/>
      </w:rPr>
      <w:drawing>
        <wp:anchor distT="0" distB="0" distL="114300" distR="114300" simplePos="0" relativeHeight="251659264" behindDoc="1" locked="0" layoutInCell="1" allowOverlap="1" wp14:anchorId="16F72387" wp14:editId="221AA11A">
          <wp:simplePos x="0" y="0"/>
          <wp:positionH relativeFrom="column">
            <wp:posOffset>-885825</wp:posOffset>
          </wp:positionH>
          <wp:positionV relativeFrom="paragraph">
            <wp:posOffset>-438150</wp:posOffset>
          </wp:positionV>
          <wp:extent cx="7790688" cy="1008583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E4"/>
    <w:rsid w:val="000F40D0"/>
    <w:rsid w:val="001F0AE4"/>
    <w:rsid w:val="00556E46"/>
    <w:rsid w:val="00693C7F"/>
    <w:rsid w:val="00B4059C"/>
    <w:rsid w:val="00DD400D"/>
    <w:rsid w:val="00F4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C1B48-6277-4D08-8F69-6AD68E56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E4"/>
  </w:style>
  <w:style w:type="table" w:styleId="TableGrid">
    <w:name w:val="Table Grid"/>
    <w:basedOn w:val="TableNormal"/>
    <w:uiPriority w:val="39"/>
    <w:rsid w:val="001F0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Lhotka</dc:creator>
  <cp:keywords/>
  <dc:description/>
  <cp:lastModifiedBy>Amy Lhotka</cp:lastModifiedBy>
  <cp:revision>2</cp:revision>
  <dcterms:created xsi:type="dcterms:W3CDTF">2020-06-15T12:52:00Z</dcterms:created>
  <dcterms:modified xsi:type="dcterms:W3CDTF">2020-06-15T12:52:00Z</dcterms:modified>
</cp:coreProperties>
</file>